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E154" w14:textId="77777777" w:rsidR="00F56ADF" w:rsidRPr="00421625" w:rsidRDefault="005D55A3" w:rsidP="00421625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497DB4D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7CABE88B" w14:textId="5A4B2671" w:rsidR="00F56ADF" w:rsidRDefault="009A2C11" w:rsidP="00F56ADF">
                  <w:pPr>
                    <w:pStyle w:val="GvdeMetni"/>
                    <w:spacing w:before="1"/>
                    <w:ind w:left="1324" w:right="1324"/>
                    <w:jc w:val="center"/>
                  </w:pPr>
                  <w:r w:rsidRPr="009A2C11">
                    <w:t xml:space="preserve">NEUROSURGERY </w:t>
                  </w:r>
                  <w:r w:rsidR="00F56ADF">
                    <w:t>(</w:t>
                  </w:r>
                  <w:r w:rsidR="00AD7D9E">
                    <w:t>PHASE</w:t>
                  </w:r>
                  <w:r w:rsidR="00F56ADF">
                    <w:t xml:space="preserve"> 5)</w:t>
                  </w:r>
                </w:p>
              </w:txbxContent>
            </v:textbox>
            <w10:anchorlock/>
          </v:shape>
        </w:pict>
      </w:r>
    </w:p>
    <w:p w14:paraId="27CD62CF" w14:textId="77777777" w:rsidR="00F56ADF" w:rsidRPr="00421625" w:rsidRDefault="00F56ADF" w:rsidP="00421625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56ADF" w:rsidRPr="00421625" w14:paraId="78A974DC" w14:textId="77777777" w:rsidTr="00860A2B">
        <w:trPr>
          <w:trHeight w:val="455"/>
        </w:trPr>
        <w:tc>
          <w:tcPr>
            <w:tcW w:w="9212" w:type="dxa"/>
            <w:gridSpan w:val="2"/>
            <w:shd w:val="clear" w:color="auto" w:fill="94B3D6"/>
          </w:tcPr>
          <w:p w14:paraId="0D545E11" w14:textId="3E02EA36" w:rsidR="00F56ADF" w:rsidRPr="00421625" w:rsidRDefault="00E7214B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LEARNING AIM(S)</w:t>
            </w:r>
          </w:p>
        </w:tc>
      </w:tr>
      <w:tr w:rsidR="00F56ADF" w:rsidRPr="00421625" w14:paraId="431228E5" w14:textId="77777777" w:rsidTr="00421625">
        <w:trPr>
          <w:trHeight w:val="2062"/>
        </w:trPr>
        <w:tc>
          <w:tcPr>
            <w:tcW w:w="674" w:type="dxa"/>
          </w:tcPr>
          <w:p w14:paraId="17F50F17" w14:textId="77777777" w:rsidR="00F56ADF" w:rsidRPr="00421625" w:rsidRDefault="00F56ADF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2F509FE0" w14:textId="6387CF83" w:rsidR="000613D0" w:rsidRPr="00421625" w:rsidRDefault="00607322" w:rsidP="00421625">
            <w:pPr>
              <w:pStyle w:val="TableParagraph"/>
              <w:spacing w:line="360" w:lineRule="auto"/>
              <w:ind w:right="96"/>
              <w:jc w:val="both"/>
              <w:rPr>
                <w:lang w:val="en-US"/>
              </w:rPr>
            </w:pPr>
            <w:r w:rsidRPr="00421625">
              <w:rPr>
                <w:lang w:val="en-US"/>
              </w:rPr>
              <w:t xml:space="preserve">In this course, it is aimed that students gain sufficient knowledge, </w:t>
            </w:r>
            <w:r w:rsidR="00161225" w:rsidRPr="00421625">
              <w:rPr>
                <w:lang w:val="en-US"/>
              </w:rPr>
              <w:t>skills,</w:t>
            </w:r>
            <w:r w:rsidRPr="00421625">
              <w:rPr>
                <w:lang w:val="en-US"/>
              </w:rPr>
              <w:t xml:space="preserve"> and attitudes to evaluate the signs and symptoms of common diseases in brain and neurosurgery within the scope of the National CEP, to diagnose in primary care conditions, to create a treatment plan / to perform applications / to follow up, to make emergency interventions when necessary or to provide a referral to a neurosurgeon.</w:t>
            </w:r>
          </w:p>
        </w:tc>
      </w:tr>
    </w:tbl>
    <w:p w14:paraId="2AB7AED6" w14:textId="77777777" w:rsidR="00F56ADF" w:rsidRPr="00421625" w:rsidRDefault="00F56ADF" w:rsidP="00421625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56ADF" w:rsidRPr="00421625" w14:paraId="66886F66" w14:textId="77777777" w:rsidTr="00860A2B">
        <w:trPr>
          <w:trHeight w:val="547"/>
        </w:trPr>
        <w:tc>
          <w:tcPr>
            <w:tcW w:w="9212" w:type="dxa"/>
            <w:gridSpan w:val="2"/>
            <w:shd w:val="clear" w:color="auto" w:fill="94B3D6"/>
          </w:tcPr>
          <w:p w14:paraId="1ACDDC48" w14:textId="2A4EF605" w:rsidR="00F56ADF" w:rsidRPr="00421625" w:rsidRDefault="007251F3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LEARNING OBJECTIVE(S)</w:t>
            </w:r>
          </w:p>
        </w:tc>
      </w:tr>
      <w:tr w:rsidR="00E9034E" w:rsidRPr="00421625" w14:paraId="0FD7FB61" w14:textId="77777777" w:rsidTr="00860A2B">
        <w:trPr>
          <w:trHeight w:val="552"/>
        </w:trPr>
        <w:tc>
          <w:tcPr>
            <w:tcW w:w="674" w:type="dxa"/>
          </w:tcPr>
          <w:p w14:paraId="1B269391" w14:textId="77777777" w:rsidR="00E9034E" w:rsidRPr="00421625" w:rsidRDefault="00E9034E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31F7F0A7" w14:textId="0450D407" w:rsidR="00E9034E" w:rsidRPr="00421625" w:rsidRDefault="00E9034E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To be able to diagnose diseases that require urgent neurosurgical intervention in the emergency department</w:t>
            </w:r>
            <w:r w:rsidR="00421625" w:rsidRPr="00421625">
              <w:rPr>
                <w:lang w:val="en-US"/>
              </w:rPr>
              <w:t>.</w:t>
            </w:r>
          </w:p>
        </w:tc>
      </w:tr>
      <w:tr w:rsidR="00E9034E" w:rsidRPr="00421625" w14:paraId="0360C50A" w14:textId="77777777" w:rsidTr="00860A2B">
        <w:trPr>
          <w:trHeight w:val="688"/>
        </w:trPr>
        <w:tc>
          <w:tcPr>
            <w:tcW w:w="674" w:type="dxa"/>
          </w:tcPr>
          <w:p w14:paraId="6BD3815E" w14:textId="77777777" w:rsidR="00E9034E" w:rsidRPr="00421625" w:rsidRDefault="00E9034E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2C16D7C7" w14:textId="2BE2B901" w:rsidR="00E9034E" w:rsidRPr="00421625" w:rsidRDefault="00E9034E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To be able to make the first response to neurosurgery emergencies and refer them appropriately</w:t>
            </w:r>
            <w:r w:rsidR="00421625" w:rsidRPr="00421625">
              <w:rPr>
                <w:lang w:val="en-US"/>
              </w:rPr>
              <w:t>.</w:t>
            </w:r>
          </w:p>
        </w:tc>
      </w:tr>
      <w:tr w:rsidR="00E9034E" w:rsidRPr="00421625" w14:paraId="5F50E996" w14:textId="77777777" w:rsidTr="00860A2B">
        <w:trPr>
          <w:trHeight w:val="1279"/>
        </w:trPr>
        <w:tc>
          <w:tcPr>
            <w:tcW w:w="674" w:type="dxa"/>
          </w:tcPr>
          <w:p w14:paraId="3273B8A5" w14:textId="77777777" w:rsidR="00E9034E" w:rsidRPr="00421625" w:rsidRDefault="00E9034E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1C7F6BA2" w14:textId="11A279E2" w:rsidR="00E9034E" w:rsidRPr="00421625" w:rsidRDefault="00E9034E" w:rsidP="00421625">
            <w:pPr>
              <w:pStyle w:val="TableParagraph"/>
              <w:spacing w:line="360" w:lineRule="auto"/>
              <w:ind w:right="101"/>
              <w:jc w:val="both"/>
              <w:rPr>
                <w:lang w:val="en-US"/>
              </w:rPr>
            </w:pPr>
            <w:r w:rsidRPr="00421625">
              <w:rPr>
                <w:lang w:val="en-US"/>
              </w:rPr>
              <w:t xml:space="preserve">To be able to recognize the clinic caused by intracranial hemorrhage, spinal </w:t>
            </w:r>
            <w:proofErr w:type="gramStart"/>
            <w:r w:rsidRPr="00421625">
              <w:rPr>
                <w:lang w:val="en-US"/>
              </w:rPr>
              <w:t>injuries</w:t>
            </w:r>
            <w:proofErr w:type="gramEnd"/>
            <w:r w:rsidRPr="00421625">
              <w:rPr>
                <w:lang w:val="en-US"/>
              </w:rPr>
              <w:t xml:space="preserve"> and intracranial space-occupying lesions, make a diagnosis and make a differential diagnosis.</w:t>
            </w:r>
          </w:p>
        </w:tc>
      </w:tr>
      <w:tr w:rsidR="00E9034E" w:rsidRPr="00421625" w14:paraId="3877163E" w14:textId="77777777" w:rsidTr="008049EF">
        <w:trPr>
          <w:trHeight w:val="778"/>
        </w:trPr>
        <w:tc>
          <w:tcPr>
            <w:tcW w:w="674" w:type="dxa"/>
          </w:tcPr>
          <w:p w14:paraId="3E1E0120" w14:textId="77777777" w:rsidR="00E9034E" w:rsidRPr="00421625" w:rsidRDefault="00E9034E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201DF61A" w14:textId="110FB04A" w:rsidR="00E9034E" w:rsidRPr="00421625" w:rsidRDefault="00E9034E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 xml:space="preserve">To be able to explain first aid, timing of surgical treatment and emergency surgery options </w:t>
            </w:r>
            <w:r w:rsidR="00DD6A54" w:rsidRPr="00421625">
              <w:rPr>
                <w:lang w:val="en-US"/>
              </w:rPr>
              <w:t xml:space="preserve">to the </w:t>
            </w:r>
            <w:r w:rsidRPr="00421625">
              <w:rPr>
                <w:lang w:val="en-US"/>
              </w:rPr>
              <w:t>patients.</w:t>
            </w:r>
          </w:p>
        </w:tc>
      </w:tr>
      <w:tr w:rsidR="00E1561B" w:rsidRPr="00421625" w14:paraId="588762F7" w14:textId="77777777" w:rsidTr="008049EF">
        <w:trPr>
          <w:trHeight w:val="379"/>
        </w:trPr>
        <w:tc>
          <w:tcPr>
            <w:tcW w:w="674" w:type="dxa"/>
          </w:tcPr>
          <w:p w14:paraId="4B9D1759" w14:textId="77777777" w:rsidR="00E1561B" w:rsidRPr="00421625" w:rsidRDefault="00E1561B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64958E77" w14:textId="4EAF9A0E" w:rsidR="00E1561B" w:rsidRPr="00421625" w:rsidRDefault="00E1561B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To be able to explain the formation mechanisms of neurosurgery related diseases.</w:t>
            </w:r>
          </w:p>
        </w:tc>
      </w:tr>
      <w:tr w:rsidR="00E1561B" w:rsidRPr="00421625" w14:paraId="288EA5DB" w14:textId="77777777" w:rsidTr="008049EF">
        <w:trPr>
          <w:trHeight w:val="810"/>
        </w:trPr>
        <w:tc>
          <w:tcPr>
            <w:tcW w:w="674" w:type="dxa"/>
          </w:tcPr>
          <w:p w14:paraId="5CEC819C" w14:textId="77777777" w:rsidR="00E1561B" w:rsidRPr="00421625" w:rsidRDefault="00E1561B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78351C61" w14:textId="13B12CFA" w:rsidR="00E1561B" w:rsidRPr="00421625" w:rsidRDefault="00E1561B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 xml:space="preserve">To be able to explain the clinical features and clinical approach principles (diagnosis, </w:t>
            </w:r>
            <w:r w:rsidR="008049EF" w:rsidRPr="00421625">
              <w:rPr>
                <w:lang w:val="en-US"/>
              </w:rPr>
              <w:t>treatment,</w:t>
            </w:r>
            <w:r w:rsidRPr="00421625">
              <w:rPr>
                <w:lang w:val="en-US"/>
              </w:rPr>
              <w:t xml:space="preserve"> and prevention) of the main diseases related to neurosurgery.</w:t>
            </w:r>
          </w:p>
        </w:tc>
      </w:tr>
      <w:tr w:rsidR="00E1561B" w:rsidRPr="00421625" w14:paraId="371F4E86" w14:textId="77777777" w:rsidTr="00860A2B">
        <w:trPr>
          <w:trHeight w:val="1055"/>
        </w:trPr>
        <w:tc>
          <w:tcPr>
            <w:tcW w:w="674" w:type="dxa"/>
          </w:tcPr>
          <w:p w14:paraId="037D9CB4" w14:textId="77777777" w:rsidR="00E1561B" w:rsidRPr="00421625" w:rsidRDefault="00E1561B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04F14637" w14:textId="5A4FF343" w:rsidR="00E1561B" w:rsidRPr="00421625" w:rsidRDefault="00E1561B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 xml:space="preserve">To be able to communicate well with the patient and their relatives, to take </w:t>
            </w:r>
            <w:r w:rsidR="000275CC" w:rsidRPr="00421625">
              <w:rPr>
                <w:lang w:val="en-US"/>
              </w:rPr>
              <w:t>medical history</w:t>
            </w:r>
            <w:r w:rsidRPr="00421625">
              <w:rPr>
                <w:lang w:val="en-US"/>
              </w:rPr>
              <w:t xml:space="preserve"> regarding patient's health problems, personal and family history and nervous system.</w:t>
            </w:r>
          </w:p>
        </w:tc>
      </w:tr>
      <w:tr w:rsidR="00F56ADF" w:rsidRPr="00421625" w14:paraId="077B2EFA" w14:textId="77777777" w:rsidTr="00211444">
        <w:trPr>
          <w:trHeight w:val="321"/>
        </w:trPr>
        <w:tc>
          <w:tcPr>
            <w:tcW w:w="674" w:type="dxa"/>
          </w:tcPr>
          <w:p w14:paraId="47143A67" w14:textId="77777777" w:rsidR="00F56ADF" w:rsidRPr="00421625" w:rsidRDefault="00F56ADF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2C6DB310" w14:textId="33E03880" w:rsidR="00F56ADF" w:rsidRPr="00421625" w:rsidRDefault="00A32BD0" w:rsidP="00421625">
            <w:pPr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To be able to perform physical examination of the nervous system</w:t>
            </w:r>
            <w:r w:rsidR="00421625" w:rsidRPr="00421625">
              <w:rPr>
                <w:lang w:val="en-US"/>
              </w:rPr>
              <w:t>.</w:t>
            </w:r>
          </w:p>
        </w:tc>
      </w:tr>
      <w:tr w:rsidR="00F56ADF" w:rsidRPr="00421625" w14:paraId="483A14CA" w14:textId="77777777" w:rsidTr="00211444">
        <w:trPr>
          <w:trHeight w:val="416"/>
        </w:trPr>
        <w:tc>
          <w:tcPr>
            <w:tcW w:w="674" w:type="dxa"/>
          </w:tcPr>
          <w:p w14:paraId="1BC5EF36" w14:textId="77777777" w:rsidR="00F56ADF" w:rsidRPr="00421625" w:rsidRDefault="00F56ADF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9</w:t>
            </w:r>
          </w:p>
        </w:tc>
        <w:tc>
          <w:tcPr>
            <w:tcW w:w="8538" w:type="dxa"/>
          </w:tcPr>
          <w:p w14:paraId="13769B8C" w14:textId="6ABD514A" w:rsidR="00F56ADF" w:rsidRPr="00421625" w:rsidRDefault="00B5658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 xml:space="preserve">To be able to evaluate the </w:t>
            </w:r>
            <w:r w:rsidR="00421625" w:rsidRPr="00421625">
              <w:rPr>
                <w:lang w:val="en-US"/>
              </w:rPr>
              <w:t>medical history</w:t>
            </w:r>
            <w:r w:rsidRPr="00421625">
              <w:rPr>
                <w:lang w:val="en-US"/>
              </w:rPr>
              <w:t xml:space="preserve"> and physical examination findings of the patient presenting with nervous system complaints, to choose the diagnostic methods/procedures that will guide the diagnosis and treatment in the appropriate order, to make a preliminary diagnosis/diagnosis by evaluating these results.</w:t>
            </w:r>
          </w:p>
        </w:tc>
      </w:tr>
      <w:tr w:rsidR="00F56ADF" w:rsidRPr="00421625" w14:paraId="6B6A6DE5" w14:textId="77777777" w:rsidTr="00860A2B">
        <w:trPr>
          <w:trHeight w:val="606"/>
        </w:trPr>
        <w:tc>
          <w:tcPr>
            <w:tcW w:w="674" w:type="dxa"/>
          </w:tcPr>
          <w:p w14:paraId="773C556F" w14:textId="77777777" w:rsidR="00F56ADF" w:rsidRPr="00421625" w:rsidRDefault="00F56ADF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lastRenderedPageBreak/>
              <w:t>10</w:t>
            </w:r>
          </w:p>
        </w:tc>
        <w:tc>
          <w:tcPr>
            <w:tcW w:w="8538" w:type="dxa"/>
          </w:tcPr>
          <w:p w14:paraId="60A66B2C" w14:textId="6E6376D8" w:rsidR="00F56ADF" w:rsidRPr="00421625" w:rsidRDefault="00AD7B3F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To be able to plan appropriate treatment for neurosurgical problems/diseases at primary care level and to distinguish cases that require referral in neurosurgical diseases.</w:t>
            </w:r>
          </w:p>
        </w:tc>
      </w:tr>
      <w:tr w:rsidR="00F56ADF" w:rsidRPr="00421625" w14:paraId="7FFDF635" w14:textId="77777777" w:rsidTr="00860A2B">
        <w:trPr>
          <w:trHeight w:val="606"/>
        </w:trPr>
        <w:tc>
          <w:tcPr>
            <w:tcW w:w="674" w:type="dxa"/>
          </w:tcPr>
          <w:p w14:paraId="6D06CE25" w14:textId="77777777" w:rsidR="00F56ADF" w:rsidRPr="00421625" w:rsidRDefault="00F56ADF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11</w:t>
            </w:r>
          </w:p>
        </w:tc>
        <w:tc>
          <w:tcPr>
            <w:tcW w:w="8538" w:type="dxa"/>
          </w:tcPr>
          <w:p w14:paraId="391F4745" w14:textId="4137E2AC" w:rsidR="00F56ADF" w:rsidRPr="00421625" w:rsidRDefault="00AD7B3F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To be able to comprehend the importance of multidisciplinary approach to the problems related to neurosurgery.</w:t>
            </w:r>
          </w:p>
        </w:tc>
      </w:tr>
      <w:tr w:rsidR="00F56ADF" w:rsidRPr="00421625" w14:paraId="48865776" w14:textId="77777777" w:rsidTr="00211444">
        <w:trPr>
          <w:trHeight w:val="193"/>
        </w:trPr>
        <w:tc>
          <w:tcPr>
            <w:tcW w:w="674" w:type="dxa"/>
          </w:tcPr>
          <w:p w14:paraId="4CDB4EC8" w14:textId="77777777" w:rsidR="00F56ADF" w:rsidRPr="00421625" w:rsidRDefault="00F56ADF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12</w:t>
            </w:r>
          </w:p>
        </w:tc>
        <w:tc>
          <w:tcPr>
            <w:tcW w:w="8538" w:type="dxa"/>
          </w:tcPr>
          <w:p w14:paraId="146A2E7E" w14:textId="3BE457DF" w:rsidR="00F56ADF" w:rsidRPr="00421625" w:rsidRDefault="006B3BC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To be able to recognize neural tube defects in newborns and children</w:t>
            </w:r>
            <w:r w:rsidR="00421625" w:rsidRPr="00421625">
              <w:rPr>
                <w:lang w:val="en-US"/>
              </w:rPr>
              <w:t>.</w:t>
            </w:r>
          </w:p>
        </w:tc>
      </w:tr>
      <w:tr w:rsidR="00F56ADF" w:rsidRPr="00421625" w14:paraId="4AEDC4E7" w14:textId="77777777" w:rsidTr="00860A2B">
        <w:trPr>
          <w:trHeight w:val="606"/>
        </w:trPr>
        <w:tc>
          <w:tcPr>
            <w:tcW w:w="674" w:type="dxa"/>
          </w:tcPr>
          <w:p w14:paraId="64D632D7" w14:textId="77777777" w:rsidR="00F56ADF" w:rsidRPr="00421625" w:rsidRDefault="00F56ADF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13</w:t>
            </w:r>
          </w:p>
        </w:tc>
        <w:tc>
          <w:tcPr>
            <w:tcW w:w="8538" w:type="dxa"/>
          </w:tcPr>
          <w:p w14:paraId="08694E4E" w14:textId="32F61B57" w:rsidR="00F56ADF" w:rsidRPr="00421625" w:rsidRDefault="006B3BC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 xml:space="preserve">To be able to plan fluid and electrolyte therapy in </w:t>
            </w:r>
            <w:r w:rsidR="000A4E2E" w:rsidRPr="00421625">
              <w:rPr>
                <w:lang w:val="en-US"/>
              </w:rPr>
              <w:t xml:space="preserve">patient with </w:t>
            </w:r>
            <w:r w:rsidR="00211444">
              <w:rPr>
                <w:lang w:val="en-US"/>
              </w:rPr>
              <w:t>i</w:t>
            </w:r>
            <w:r w:rsidR="000A4E2E" w:rsidRPr="00421625">
              <w:rPr>
                <w:lang w:val="en-US"/>
              </w:rPr>
              <w:t xml:space="preserve">ncreased </w:t>
            </w:r>
            <w:r w:rsidR="00211444">
              <w:rPr>
                <w:lang w:val="en-US"/>
              </w:rPr>
              <w:t>i</w:t>
            </w:r>
            <w:r w:rsidR="000A4E2E" w:rsidRPr="00421625">
              <w:rPr>
                <w:lang w:val="en-US"/>
              </w:rPr>
              <w:t xml:space="preserve">ntracranial </w:t>
            </w:r>
            <w:r w:rsidR="00211444">
              <w:rPr>
                <w:lang w:val="en-US"/>
              </w:rPr>
              <w:t>p</w:t>
            </w:r>
            <w:r w:rsidR="000A4E2E" w:rsidRPr="00421625">
              <w:rPr>
                <w:lang w:val="en-US"/>
              </w:rPr>
              <w:t>ressure (ICP)</w:t>
            </w:r>
            <w:r w:rsidR="00421625" w:rsidRPr="00421625">
              <w:rPr>
                <w:lang w:val="en-US"/>
              </w:rPr>
              <w:t>.</w:t>
            </w:r>
          </w:p>
        </w:tc>
      </w:tr>
    </w:tbl>
    <w:p w14:paraId="1EA79F19" w14:textId="77777777" w:rsidR="00F56ADF" w:rsidRPr="00421625" w:rsidRDefault="00F56ADF" w:rsidP="00421625">
      <w:pPr>
        <w:spacing w:line="360" w:lineRule="auto"/>
        <w:rPr>
          <w:b/>
          <w:lang w:val="en-US"/>
        </w:rPr>
      </w:pPr>
    </w:p>
    <w:p w14:paraId="1F8F3902" w14:textId="77777777" w:rsidR="00F56ADF" w:rsidRPr="00421625" w:rsidRDefault="00F56ADF" w:rsidP="00421625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56ADF" w:rsidRPr="00421625" w14:paraId="6928341F" w14:textId="77777777" w:rsidTr="00860A2B">
        <w:trPr>
          <w:trHeight w:val="454"/>
        </w:trPr>
        <w:tc>
          <w:tcPr>
            <w:tcW w:w="9212" w:type="dxa"/>
            <w:gridSpan w:val="2"/>
            <w:shd w:val="clear" w:color="auto" w:fill="94B3D6"/>
          </w:tcPr>
          <w:p w14:paraId="548ABAAC" w14:textId="5F914F2D" w:rsidR="00F56ADF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INTENDED LEARNING OUTCOME(S)</w:t>
            </w:r>
          </w:p>
        </w:tc>
      </w:tr>
      <w:tr w:rsidR="00E85090" w:rsidRPr="00421625" w14:paraId="78D79416" w14:textId="77777777" w:rsidTr="00860A2B">
        <w:trPr>
          <w:trHeight w:val="557"/>
        </w:trPr>
        <w:tc>
          <w:tcPr>
            <w:tcW w:w="674" w:type="dxa"/>
          </w:tcPr>
          <w:p w14:paraId="466468B8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1512446C" w14:textId="5E18AE89" w:rsidR="00E85090" w:rsidRPr="00421625" w:rsidRDefault="00E85090" w:rsidP="00421625">
            <w:pPr>
              <w:pStyle w:val="TableParagraph"/>
              <w:spacing w:line="360" w:lineRule="auto"/>
              <w:ind w:right="99"/>
              <w:rPr>
                <w:lang w:val="en-US"/>
              </w:rPr>
            </w:pPr>
            <w:r w:rsidRPr="00421625">
              <w:rPr>
                <w:lang w:val="en-US"/>
              </w:rPr>
              <w:t>Can diagnose diseases that require urgent neurosurgical intervention in the emergency department</w:t>
            </w:r>
            <w:r w:rsidR="00421625" w:rsidRPr="00421625">
              <w:rPr>
                <w:lang w:val="en-US"/>
              </w:rPr>
              <w:t>.</w:t>
            </w:r>
          </w:p>
        </w:tc>
      </w:tr>
      <w:tr w:rsidR="00E85090" w:rsidRPr="00421625" w14:paraId="6CB745ED" w14:textId="77777777" w:rsidTr="00860A2B">
        <w:trPr>
          <w:trHeight w:val="706"/>
        </w:trPr>
        <w:tc>
          <w:tcPr>
            <w:tcW w:w="674" w:type="dxa"/>
          </w:tcPr>
          <w:p w14:paraId="0158FA52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4D87C5AC" w14:textId="73ECAE62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make the first response to neurosurgery emergencies and refer them appropriately</w:t>
            </w:r>
            <w:r w:rsidR="00421625" w:rsidRPr="00421625">
              <w:rPr>
                <w:lang w:val="en-US"/>
              </w:rPr>
              <w:t>.</w:t>
            </w:r>
          </w:p>
        </w:tc>
      </w:tr>
      <w:tr w:rsidR="00E85090" w:rsidRPr="00421625" w14:paraId="12C83AFF" w14:textId="77777777" w:rsidTr="00860A2B">
        <w:trPr>
          <w:trHeight w:val="1056"/>
        </w:trPr>
        <w:tc>
          <w:tcPr>
            <w:tcW w:w="674" w:type="dxa"/>
          </w:tcPr>
          <w:p w14:paraId="4E0296B9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545D1A56" w14:textId="23878146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recognize the clinic caused by intracranial hemorrhage, spinal injuries and intracranial space-occupying lesions</w:t>
            </w:r>
            <w:r w:rsidRPr="00421625">
              <w:rPr>
                <w:lang w:val="en-US"/>
              </w:rPr>
              <w:t xml:space="preserve"> and</w:t>
            </w:r>
            <w:r w:rsidR="00E85090" w:rsidRPr="00421625">
              <w:rPr>
                <w:lang w:val="en-US"/>
              </w:rPr>
              <w:t xml:space="preserve"> make a diagnosis and make a differential diagnosis.</w:t>
            </w:r>
          </w:p>
        </w:tc>
      </w:tr>
      <w:tr w:rsidR="00E85090" w:rsidRPr="00421625" w14:paraId="6F935F3F" w14:textId="77777777" w:rsidTr="00860A2B">
        <w:trPr>
          <w:trHeight w:val="860"/>
        </w:trPr>
        <w:tc>
          <w:tcPr>
            <w:tcW w:w="674" w:type="dxa"/>
          </w:tcPr>
          <w:p w14:paraId="268C15BD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672AC9FA" w14:textId="46D5B1D3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explain first aid, timing of surgical treatment and emergency surgery options to the patients.</w:t>
            </w:r>
          </w:p>
        </w:tc>
      </w:tr>
      <w:tr w:rsidR="00E85090" w:rsidRPr="00421625" w14:paraId="4B72C999" w14:textId="77777777" w:rsidTr="005D55A3">
        <w:trPr>
          <w:trHeight w:val="277"/>
        </w:trPr>
        <w:tc>
          <w:tcPr>
            <w:tcW w:w="674" w:type="dxa"/>
          </w:tcPr>
          <w:p w14:paraId="03B9F584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100C85B9" w14:textId="1B4BFD4C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explain the formation mechanisms of neurosurgery related diseases.</w:t>
            </w:r>
          </w:p>
        </w:tc>
      </w:tr>
      <w:tr w:rsidR="00E85090" w:rsidRPr="00421625" w14:paraId="0B3E7843" w14:textId="77777777" w:rsidTr="008049EF">
        <w:trPr>
          <w:trHeight w:val="694"/>
        </w:trPr>
        <w:tc>
          <w:tcPr>
            <w:tcW w:w="674" w:type="dxa"/>
          </w:tcPr>
          <w:p w14:paraId="0DACBFB0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374272E4" w14:textId="6E9CD71E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explain the clinical features and clinical approach principles (diagnosis, </w:t>
            </w:r>
            <w:r w:rsidR="00211444" w:rsidRPr="00421625">
              <w:rPr>
                <w:lang w:val="en-US"/>
              </w:rPr>
              <w:t>treatment,</w:t>
            </w:r>
            <w:r w:rsidR="00E85090" w:rsidRPr="00421625">
              <w:rPr>
                <w:lang w:val="en-US"/>
              </w:rPr>
              <w:t xml:space="preserve"> and prevention) of the main diseases related to neurosurgery.</w:t>
            </w:r>
          </w:p>
        </w:tc>
      </w:tr>
      <w:tr w:rsidR="00E85090" w:rsidRPr="00421625" w14:paraId="35F416F8" w14:textId="77777777" w:rsidTr="00860A2B">
        <w:trPr>
          <w:trHeight w:val="595"/>
        </w:trPr>
        <w:tc>
          <w:tcPr>
            <w:tcW w:w="674" w:type="dxa"/>
          </w:tcPr>
          <w:p w14:paraId="7698573C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4D57A224" w14:textId="30935B1B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communicate well with the patient and their relatives, </w:t>
            </w: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take </w:t>
            </w:r>
            <w:r w:rsidR="000275CC" w:rsidRPr="00421625">
              <w:rPr>
                <w:lang w:val="en-US"/>
              </w:rPr>
              <w:t>medical history</w:t>
            </w:r>
            <w:r w:rsidR="00E85090" w:rsidRPr="00421625">
              <w:rPr>
                <w:lang w:val="en-US"/>
              </w:rPr>
              <w:t xml:space="preserve"> regarding patient's health problems, personal and family history and nervous system.</w:t>
            </w:r>
          </w:p>
        </w:tc>
      </w:tr>
      <w:tr w:rsidR="00E85090" w:rsidRPr="00421625" w14:paraId="513033D4" w14:textId="77777777" w:rsidTr="008049EF">
        <w:trPr>
          <w:trHeight w:val="449"/>
        </w:trPr>
        <w:tc>
          <w:tcPr>
            <w:tcW w:w="674" w:type="dxa"/>
          </w:tcPr>
          <w:p w14:paraId="70220467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4F5A2AFE" w14:textId="20770F08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perform physical examination of the nervous system</w:t>
            </w:r>
            <w:r w:rsidR="00421625" w:rsidRPr="00421625">
              <w:rPr>
                <w:lang w:val="en-US"/>
              </w:rPr>
              <w:t>.</w:t>
            </w:r>
          </w:p>
        </w:tc>
      </w:tr>
      <w:tr w:rsidR="00E85090" w:rsidRPr="00421625" w14:paraId="1A30050E" w14:textId="77777777" w:rsidTr="00860A2B">
        <w:trPr>
          <w:trHeight w:val="595"/>
        </w:trPr>
        <w:tc>
          <w:tcPr>
            <w:tcW w:w="674" w:type="dxa"/>
          </w:tcPr>
          <w:p w14:paraId="414138E3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9</w:t>
            </w:r>
          </w:p>
        </w:tc>
        <w:tc>
          <w:tcPr>
            <w:tcW w:w="8538" w:type="dxa"/>
          </w:tcPr>
          <w:p w14:paraId="7E303361" w14:textId="27633FB1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evaluate the </w:t>
            </w:r>
            <w:r w:rsidR="00421625" w:rsidRPr="00421625">
              <w:rPr>
                <w:lang w:val="en-US"/>
              </w:rPr>
              <w:t>medical history</w:t>
            </w:r>
            <w:r w:rsidR="00E85090" w:rsidRPr="00421625">
              <w:rPr>
                <w:lang w:val="en-US"/>
              </w:rPr>
              <w:t xml:space="preserve"> and physical examination findings of the patient presenting with nervous system complaints, </w:t>
            </w: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choose the diagnostic methods/procedures that will guide the diagnosis and treatment in the appropriate order, </w:t>
            </w: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make a preliminary diagnosis/diagnosis by evaluating these results.</w:t>
            </w:r>
          </w:p>
        </w:tc>
      </w:tr>
      <w:tr w:rsidR="00E85090" w:rsidRPr="00421625" w14:paraId="380FA0E1" w14:textId="77777777" w:rsidTr="00860A2B">
        <w:trPr>
          <w:trHeight w:val="595"/>
        </w:trPr>
        <w:tc>
          <w:tcPr>
            <w:tcW w:w="674" w:type="dxa"/>
          </w:tcPr>
          <w:p w14:paraId="3F3EA475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10</w:t>
            </w:r>
          </w:p>
        </w:tc>
        <w:tc>
          <w:tcPr>
            <w:tcW w:w="8538" w:type="dxa"/>
          </w:tcPr>
          <w:p w14:paraId="6137E316" w14:textId="701DD845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plan appropriate treatment for neurosurgical problems/diseases at primary care level and distinguish cases that require referral in neurosurgical diseases.</w:t>
            </w:r>
          </w:p>
        </w:tc>
      </w:tr>
      <w:tr w:rsidR="00E85090" w:rsidRPr="00421625" w14:paraId="12A99EB6" w14:textId="77777777" w:rsidTr="008049EF">
        <w:trPr>
          <w:trHeight w:val="414"/>
        </w:trPr>
        <w:tc>
          <w:tcPr>
            <w:tcW w:w="674" w:type="dxa"/>
          </w:tcPr>
          <w:p w14:paraId="4A9BA211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11</w:t>
            </w:r>
          </w:p>
        </w:tc>
        <w:tc>
          <w:tcPr>
            <w:tcW w:w="8538" w:type="dxa"/>
          </w:tcPr>
          <w:p w14:paraId="4FA54735" w14:textId="2734B387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comprehend the importance of multidisciplinary approach to the problems related to neurosurgery.</w:t>
            </w:r>
          </w:p>
        </w:tc>
      </w:tr>
      <w:tr w:rsidR="00E85090" w:rsidRPr="00421625" w14:paraId="01CFF164" w14:textId="77777777" w:rsidTr="008049EF">
        <w:trPr>
          <w:trHeight w:val="380"/>
        </w:trPr>
        <w:tc>
          <w:tcPr>
            <w:tcW w:w="674" w:type="dxa"/>
          </w:tcPr>
          <w:p w14:paraId="103A7985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t>12</w:t>
            </w:r>
          </w:p>
        </w:tc>
        <w:tc>
          <w:tcPr>
            <w:tcW w:w="8538" w:type="dxa"/>
          </w:tcPr>
          <w:p w14:paraId="2E54AF25" w14:textId="12886D04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recognize neural tube defects in newborns and children</w:t>
            </w:r>
            <w:r w:rsidR="00421625" w:rsidRPr="00421625">
              <w:rPr>
                <w:lang w:val="en-US"/>
              </w:rPr>
              <w:t>.</w:t>
            </w:r>
          </w:p>
        </w:tc>
      </w:tr>
      <w:tr w:rsidR="00E85090" w:rsidRPr="00421625" w14:paraId="2D20995B" w14:textId="77777777" w:rsidTr="008049EF">
        <w:trPr>
          <w:trHeight w:val="568"/>
        </w:trPr>
        <w:tc>
          <w:tcPr>
            <w:tcW w:w="674" w:type="dxa"/>
          </w:tcPr>
          <w:p w14:paraId="216C3FBA" w14:textId="77777777" w:rsidR="00E85090" w:rsidRPr="00421625" w:rsidRDefault="00E85090" w:rsidP="00421625">
            <w:pPr>
              <w:pStyle w:val="TableParagraph"/>
              <w:spacing w:line="360" w:lineRule="auto"/>
              <w:ind w:left="107"/>
              <w:rPr>
                <w:b/>
                <w:lang w:val="en-US"/>
              </w:rPr>
            </w:pPr>
            <w:r w:rsidRPr="00421625">
              <w:rPr>
                <w:b/>
                <w:lang w:val="en-US"/>
              </w:rPr>
              <w:lastRenderedPageBreak/>
              <w:t>13</w:t>
            </w:r>
          </w:p>
        </w:tc>
        <w:tc>
          <w:tcPr>
            <w:tcW w:w="8538" w:type="dxa"/>
          </w:tcPr>
          <w:p w14:paraId="50D59777" w14:textId="617E75F5" w:rsidR="00E85090" w:rsidRPr="00421625" w:rsidRDefault="008C0A24" w:rsidP="00421625">
            <w:pPr>
              <w:pStyle w:val="TableParagraph"/>
              <w:spacing w:line="360" w:lineRule="auto"/>
              <w:rPr>
                <w:lang w:val="en-US"/>
              </w:rPr>
            </w:pPr>
            <w:r w:rsidRPr="00421625">
              <w:rPr>
                <w:lang w:val="en-US"/>
              </w:rPr>
              <w:t>Can</w:t>
            </w:r>
            <w:r w:rsidR="00E85090" w:rsidRPr="00421625">
              <w:rPr>
                <w:lang w:val="en-US"/>
              </w:rPr>
              <w:t xml:space="preserve"> plan fluid and electrolyte therapy in patient with Increased Intracranial Pressure (ICP)</w:t>
            </w:r>
            <w:r w:rsidR="008049EF">
              <w:rPr>
                <w:lang w:val="en-US"/>
              </w:rPr>
              <w:t>.</w:t>
            </w:r>
          </w:p>
        </w:tc>
      </w:tr>
    </w:tbl>
    <w:p w14:paraId="56A80BD4" w14:textId="77777777" w:rsidR="00F56ADF" w:rsidRPr="00421625" w:rsidRDefault="00F56ADF" w:rsidP="00421625">
      <w:pPr>
        <w:spacing w:line="360" w:lineRule="auto"/>
        <w:rPr>
          <w:b/>
          <w:lang w:val="en-US"/>
        </w:rPr>
      </w:pPr>
    </w:p>
    <w:p w14:paraId="5A98F6C1" w14:textId="77777777" w:rsidR="00F56ADF" w:rsidRPr="00421625" w:rsidRDefault="00F56ADF" w:rsidP="00421625">
      <w:pPr>
        <w:spacing w:line="360" w:lineRule="auto"/>
        <w:rPr>
          <w:b/>
          <w:lang w:val="en-US"/>
        </w:rPr>
      </w:pPr>
    </w:p>
    <w:sectPr w:rsidR="00F56ADF" w:rsidRPr="00421625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CDA"/>
    <w:rsid w:val="000275CC"/>
    <w:rsid w:val="000613D0"/>
    <w:rsid w:val="000A4E2E"/>
    <w:rsid w:val="000F44CE"/>
    <w:rsid w:val="00161225"/>
    <w:rsid w:val="001F3AFA"/>
    <w:rsid w:val="00203945"/>
    <w:rsid w:val="00211444"/>
    <w:rsid w:val="002D35D7"/>
    <w:rsid w:val="0038303C"/>
    <w:rsid w:val="003F30F8"/>
    <w:rsid w:val="004049EC"/>
    <w:rsid w:val="00421625"/>
    <w:rsid w:val="00486C18"/>
    <w:rsid w:val="004B4334"/>
    <w:rsid w:val="005D55A3"/>
    <w:rsid w:val="00607322"/>
    <w:rsid w:val="00620E77"/>
    <w:rsid w:val="0066209E"/>
    <w:rsid w:val="00681525"/>
    <w:rsid w:val="006B3BC4"/>
    <w:rsid w:val="006C3EF8"/>
    <w:rsid w:val="007251F3"/>
    <w:rsid w:val="008049EF"/>
    <w:rsid w:val="008A7754"/>
    <w:rsid w:val="008C0A24"/>
    <w:rsid w:val="00925CE0"/>
    <w:rsid w:val="00951455"/>
    <w:rsid w:val="009A2C11"/>
    <w:rsid w:val="00A125A6"/>
    <w:rsid w:val="00A32BD0"/>
    <w:rsid w:val="00AD7B3F"/>
    <w:rsid w:val="00AD7D9E"/>
    <w:rsid w:val="00AE44EF"/>
    <w:rsid w:val="00B56584"/>
    <w:rsid w:val="00DD6A54"/>
    <w:rsid w:val="00E1561B"/>
    <w:rsid w:val="00E7214B"/>
    <w:rsid w:val="00E85090"/>
    <w:rsid w:val="00E9034E"/>
    <w:rsid w:val="00F00CDA"/>
    <w:rsid w:val="00F20523"/>
    <w:rsid w:val="00F56ADF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5D3616"/>
  <w15:docId w15:val="{46DBF88F-D278-493E-A7EE-E978DEB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44</cp:revision>
  <dcterms:created xsi:type="dcterms:W3CDTF">2022-08-13T09:13:00Z</dcterms:created>
  <dcterms:modified xsi:type="dcterms:W3CDTF">2022-08-26T06:09:00Z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